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256F1" w:rsidRDefault="00AF70D4">
      <w:pPr>
        <w:spacing w:line="560" w:lineRule="exact"/>
        <w:jc w:val="center"/>
        <w:rPr>
          <w:rFonts w:ascii="方正小标宋简体" w:eastAsia="方正小标宋简体" w:hAnsi="Tahoma" w:cs="Tahoma"/>
          <w:color w:val="000000"/>
          <w:sz w:val="44"/>
          <w:szCs w:val="44"/>
          <w:lang w:bidi="ar"/>
        </w:rPr>
      </w:pPr>
      <w:bookmarkStart w:id="0" w:name="_GoBack"/>
      <w:bookmarkEnd w:id="0"/>
      <w:r>
        <w:rPr>
          <w:rFonts w:ascii="方正小标宋简体" w:eastAsia="方正小标宋简体" w:hAnsi="Tahoma" w:cs="Tahoma" w:hint="eastAsia"/>
          <w:color w:val="000000"/>
          <w:sz w:val="44"/>
          <w:szCs w:val="44"/>
          <w:lang w:bidi="ar"/>
        </w:rPr>
        <w:t>中国</w:t>
      </w:r>
      <w:r>
        <w:rPr>
          <w:rFonts w:ascii="方正小标宋简体" w:eastAsia="方正小标宋简体" w:hAnsi="Tahoma" w:cs="Tahoma"/>
          <w:color w:val="000000"/>
          <w:sz w:val="44"/>
          <w:szCs w:val="44"/>
          <w:lang w:bidi="ar"/>
        </w:rPr>
        <w:t>政法大学与北京市法制办</w:t>
      </w:r>
    </w:p>
    <w:p w:rsidR="004256F1" w:rsidRDefault="00AF70D4">
      <w:pPr>
        <w:spacing w:line="560" w:lineRule="exact"/>
        <w:jc w:val="center"/>
        <w:rPr>
          <w:rFonts w:ascii="黑体" w:eastAsia="黑体" w:hAnsi="黑体"/>
          <w:sz w:val="44"/>
          <w:szCs w:val="44"/>
        </w:rPr>
      </w:pPr>
      <w:r>
        <w:rPr>
          <w:rFonts w:ascii="方正小标宋简体" w:eastAsia="方正小标宋简体" w:hAnsi="Tahoma" w:cs="Tahoma"/>
          <w:color w:val="000000"/>
          <w:sz w:val="44"/>
          <w:szCs w:val="44"/>
          <w:lang w:bidi="ar"/>
        </w:rPr>
        <w:t>产学研基地课题</w:t>
      </w:r>
      <w:r>
        <w:rPr>
          <w:rFonts w:ascii="方正小标宋简体" w:eastAsia="方正小标宋简体" w:hAnsi="Tahoma" w:cs="Tahoma" w:hint="eastAsia"/>
          <w:color w:val="000000"/>
          <w:sz w:val="44"/>
          <w:szCs w:val="44"/>
          <w:lang w:bidi="ar"/>
        </w:rPr>
        <w:t>选题</w:t>
      </w:r>
    </w:p>
    <w:p w:rsidR="004256F1" w:rsidRDefault="004256F1">
      <w:pPr>
        <w:spacing w:line="560" w:lineRule="exact"/>
        <w:ind w:firstLineChars="200" w:firstLine="640"/>
        <w:rPr>
          <w:rFonts w:ascii="黑体" w:eastAsia="黑体" w:hAnsi="黑体"/>
          <w:sz w:val="32"/>
          <w:szCs w:val="32"/>
        </w:rPr>
      </w:pPr>
    </w:p>
    <w:p w:rsidR="004256F1" w:rsidRDefault="00AF70D4">
      <w:pPr>
        <w:spacing w:line="560" w:lineRule="exact"/>
        <w:ind w:firstLineChars="200" w:firstLine="640"/>
        <w:rPr>
          <w:rFonts w:ascii="黑体" w:eastAsia="黑体" w:hAnsi="黑体"/>
          <w:sz w:val="32"/>
          <w:szCs w:val="32"/>
        </w:rPr>
      </w:pPr>
      <w:r>
        <w:rPr>
          <w:rFonts w:ascii="黑体" w:eastAsia="黑体" w:hAnsi="黑体" w:hint="eastAsia"/>
          <w:sz w:val="32"/>
          <w:szCs w:val="32"/>
        </w:rPr>
        <w:t>课题一：北京法治政府建设的历史阶段定位和下一个五年的任务措施</w:t>
      </w:r>
    </w:p>
    <w:p w:rsidR="004256F1" w:rsidRDefault="00AF70D4">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研究背景：</w:t>
      </w:r>
      <w:r>
        <w:rPr>
          <w:rFonts w:ascii="仿宋_GB2312" w:eastAsia="仿宋_GB2312" w:hAnsi="仿宋_GB2312" w:cs="仿宋_GB2312" w:hint="eastAsia"/>
          <w:sz w:val="32"/>
          <w:szCs w:val="32"/>
        </w:rPr>
        <w:t>自2004年3月国务院发布《全面推进依法行政实施纲要》明确提出建设法治政府的奋斗目标，以及2010年《国务院关于加强法治政府建设的意见》实施以来，政府法治建设进入一个崭新的发展阶段。为深入推进依法行政，加快建设法治政府，如期实现法治政府基本建成的奋斗目标，2015年12月，中共中央、国务院印发了《法治政府建设实施纲要(2015－2020年)》。</w:t>
      </w:r>
    </w:p>
    <w:p w:rsidR="004256F1" w:rsidRDefault="00AF70D4">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课题目标：</w:t>
      </w:r>
      <w:r>
        <w:rPr>
          <w:rFonts w:ascii="仿宋_GB2312" w:eastAsia="仿宋_GB2312" w:hAnsi="仿宋_GB2312" w:cs="仿宋_GB2312" w:hint="eastAsia"/>
          <w:sz w:val="32"/>
          <w:szCs w:val="32"/>
        </w:rPr>
        <w:t>1.梳理全国法治政府建设推进情况和存在问题，以及对当前形势的判断。2.明确在全国建设法治政府的大形势下，北京法治政府建设所处的历史阶段定位，梳理2004年至今两轮法治政府建设工作中，北京的推进情况和存在问题。3.结合最新出台《纲要》以及北京市实际，梳理北京市法治政府建设的努力方向和重点任务，并有针对性地提出战略支撑举措。</w:t>
      </w:r>
    </w:p>
    <w:p w:rsidR="004256F1" w:rsidRDefault="00AF70D4">
      <w:pPr>
        <w:spacing w:line="560" w:lineRule="exact"/>
        <w:ind w:firstLineChars="200" w:firstLine="640"/>
        <w:rPr>
          <w:rFonts w:ascii="黑体" w:eastAsia="黑体" w:hAnsi="黑体"/>
          <w:sz w:val="32"/>
          <w:szCs w:val="32"/>
        </w:rPr>
      </w:pPr>
      <w:r>
        <w:rPr>
          <w:rFonts w:ascii="黑体" w:eastAsia="黑体" w:hAnsi="黑体" w:hint="eastAsia"/>
          <w:sz w:val="32"/>
          <w:szCs w:val="32"/>
        </w:rPr>
        <w:t>课题二：行政许可与行政确认的内涵、外延及其关系</w:t>
      </w:r>
    </w:p>
    <w:p w:rsidR="004256F1" w:rsidRDefault="00AF70D4">
      <w:pPr>
        <w:spacing w:line="560" w:lineRule="exact"/>
        <w:ind w:firstLineChars="200" w:firstLine="643"/>
        <w:rPr>
          <w:rFonts w:ascii="仿宋_GB2312" w:eastAsia="仿宋_GB2312"/>
          <w:sz w:val="32"/>
          <w:szCs w:val="32"/>
        </w:rPr>
      </w:pPr>
      <w:r>
        <w:rPr>
          <w:rFonts w:ascii="仿宋_GB2312" w:eastAsia="仿宋_GB2312" w:hAnsi="仿宋_GB2312" w:cs="仿宋_GB2312" w:hint="eastAsia"/>
          <w:b/>
          <w:bCs/>
          <w:sz w:val="32"/>
          <w:szCs w:val="32"/>
        </w:rPr>
        <w:t>研究背景：</w:t>
      </w:r>
      <w:r>
        <w:rPr>
          <w:rFonts w:ascii="仿宋_GB2312" w:eastAsia="仿宋_GB2312" w:hint="eastAsia"/>
          <w:sz w:val="32"/>
          <w:szCs w:val="32"/>
        </w:rPr>
        <w:t>行政许可和行政确认是行政机关常用的两种行政行为方式。行政许可是指行政机关根据公民、法人或者其他组织的申请，经依法审查，准予其从事特定活动的行为。行政确认是指行政主体就法律关系或者由法律关系所产生</w:t>
      </w:r>
      <w:r>
        <w:rPr>
          <w:rFonts w:ascii="仿宋_GB2312" w:eastAsia="仿宋_GB2312" w:hint="eastAsia"/>
          <w:sz w:val="32"/>
          <w:szCs w:val="32"/>
        </w:rPr>
        <w:lastRenderedPageBreak/>
        <w:t>的法律地位或者法律事实予以确认。行政许可与行政确认的概念看似清晰明确，但实践中有时候很难辨认某项制度安排是属于许可还是确认。</w:t>
      </w:r>
    </w:p>
    <w:p w:rsidR="004256F1" w:rsidRDefault="00AF70D4">
      <w:pPr>
        <w:spacing w:line="560" w:lineRule="exact"/>
        <w:ind w:firstLineChars="200" w:firstLine="640"/>
        <w:rPr>
          <w:rFonts w:ascii="仿宋_GB2312" w:eastAsia="仿宋_GB2312"/>
          <w:sz w:val="32"/>
          <w:szCs w:val="32"/>
        </w:rPr>
      </w:pPr>
      <w:r>
        <w:rPr>
          <w:rFonts w:ascii="仿宋_GB2312" w:eastAsia="仿宋_GB2312" w:hint="eastAsia"/>
          <w:sz w:val="32"/>
          <w:szCs w:val="32"/>
        </w:rPr>
        <w:t>例如，《人口与计划生育法》第十八条规定“符合法律、法规规定条件的，可以要求安排再生育子女。具体办法由省、自治区、直辖市人民代表大会或者其常务委员会规定。”一些省市在细化该条规定时，规定再生育的情形由当事人申请，卫生与计划生育行政部门审批。这种规定是将再生育安排理解为一种行政许可行为。但也有另一种理解，认为从第十八条字面来看，“要求安排再生育”体现为公民的权利，不宜通过行政许可来限定，再生育子女的条件是法律、法规规定的，卫生与计划生育行政部门只是对当事人的这种地位或资格进行确认。</w:t>
      </w:r>
    </w:p>
    <w:p w:rsidR="004256F1" w:rsidRDefault="00AF70D4">
      <w:pPr>
        <w:spacing w:line="560" w:lineRule="exact"/>
        <w:ind w:firstLineChars="200" w:firstLine="643"/>
        <w:rPr>
          <w:rFonts w:ascii="仿宋_GB2312" w:eastAsia="仿宋_GB2312"/>
          <w:sz w:val="32"/>
          <w:szCs w:val="32"/>
        </w:rPr>
      </w:pPr>
      <w:r>
        <w:rPr>
          <w:rFonts w:ascii="仿宋_GB2312" w:eastAsia="仿宋_GB2312" w:hAnsi="仿宋_GB2312" w:cs="仿宋_GB2312" w:hint="eastAsia"/>
          <w:b/>
          <w:bCs/>
          <w:sz w:val="32"/>
          <w:szCs w:val="32"/>
        </w:rPr>
        <w:t>课题目标：</w:t>
      </w:r>
      <w:r>
        <w:rPr>
          <w:rFonts w:ascii="仿宋_GB2312" w:eastAsia="仿宋_GB2312" w:hint="eastAsia"/>
          <w:sz w:val="32"/>
          <w:szCs w:val="32"/>
        </w:rPr>
        <w:t>希望能就行政许可和行政确认的内涵、外延及其关系进行研究。</w:t>
      </w:r>
    </w:p>
    <w:p w:rsidR="004256F1" w:rsidRDefault="00AF70D4">
      <w:pPr>
        <w:spacing w:line="560" w:lineRule="exact"/>
        <w:ind w:firstLineChars="200" w:firstLine="640"/>
        <w:rPr>
          <w:rFonts w:ascii="黑体" w:eastAsia="黑体" w:hAnsi="黑体"/>
          <w:sz w:val="32"/>
          <w:szCs w:val="32"/>
        </w:rPr>
      </w:pPr>
      <w:r>
        <w:rPr>
          <w:rFonts w:ascii="黑体" w:eastAsia="黑体" w:hAnsi="黑体" w:hint="eastAsia"/>
          <w:sz w:val="32"/>
          <w:szCs w:val="32"/>
        </w:rPr>
        <w:t>课题三：国外殡葬管理制度研究</w:t>
      </w:r>
    </w:p>
    <w:p w:rsidR="004256F1" w:rsidRDefault="00AF70D4">
      <w:pPr>
        <w:spacing w:line="560" w:lineRule="exact"/>
        <w:ind w:firstLineChars="200" w:firstLine="643"/>
        <w:rPr>
          <w:rFonts w:ascii="仿宋_GB2312" w:eastAsia="仿宋_GB2312"/>
          <w:sz w:val="32"/>
          <w:szCs w:val="32"/>
        </w:rPr>
      </w:pPr>
      <w:r>
        <w:rPr>
          <w:rFonts w:ascii="仿宋_GB2312" w:eastAsia="仿宋_GB2312" w:hAnsi="仿宋_GB2312" w:cs="仿宋_GB2312" w:hint="eastAsia"/>
          <w:b/>
          <w:bCs/>
          <w:sz w:val="32"/>
          <w:szCs w:val="32"/>
        </w:rPr>
        <w:t>研究背景：</w:t>
      </w:r>
      <w:r>
        <w:rPr>
          <w:rFonts w:ascii="仿宋_GB2312" w:eastAsia="仿宋_GB2312" w:hint="eastAsia"/>
          <w:sz w:val="32"/>
          <w:szCs w:val="32"/>
        </w:rPr>
        <w:t>近些年，国内殡葬管理乱象颇多，殡葬费用偏高。今年国务院就《殡葬管理条例》修订向社会征求了意见，此课题通过国外殡葬管理制度研究为国内立法提供借鉴。</w:t>
      </w:r>
    </w:p>
    <w:p w:rsidR="004256F1" w:rsidRDefault="00AF70D4">
      <w:pPr>
        <w:spacing w:line="560" w:lineRule="exact"/>
        <w:ind w:firstLineChars="200" w:firstLine="643"/>
        <w:rPr>
          <w:rFonts w:ascii="仿宋_GB2312" w:eastAsia="仿宋_GB2312"/>
          <w:sz w:val="32"/>
          <w:szCs w:val="32"/>
        </w:rPr>
      </w:pPr>
      <w:r>
        <w:rPr>
          <w:rFonts w:ascii="仿宋_GB2312" w:eastAsia="仿宋_GB2312" w:hAnsi="仿宋_GB2312" w:cs="仿宋_GB2312" w:hint="eastAsia"/>
          <w:b/>
          <w:bCs/>
          <w:sz w:val="32"/>
          <w:szCs w:val="32"/>
        </w:rPr>
        <w:t>课题目标：</w:t>
      </w:r>
      <w:r>
        <w:rPr>
          <w:rFonts w:ascii="仿宋_GB2312" w:eastAsia="仿宋_GB2312" w:hint="eastAsia"/>
          <w:sz w:val="32"/>
          <w:szCs w:val="32"/>
        </w:rPr>
        <w:t>主要研究内容有：一是国外殡葬管理体制、死亡证明相关制度（如是属于殡葬管理还是卫生管理，证明开具流程及规范等）、火化制度（火化机构的设立、管理等）、公墓制度（土地制度、设立条件、管理规范）、其他管理规范等等。二是关于墓地价格和殡仪价格过高原因进行分析</w:t>
      </w:r>
      <w:r>
        <w:rPr>
          <w:rFonts w:ascii="仿宋_GB2312" w:eastAsia="仿宋_GB2312" w:hint="eastAsia"/>
          <w:sz w:val="32"/>
          <w:szCs w:val="32"/>
        </w:rPr>
        <w:lastRenderedPageBreak/>
        <w:t>（如是否涉及垄断，是自然垄断、还是行政垄断，还是其他）等等。三是关于强制火化制度研究等。其他相关内容。</w:t>
      </w:r>
    </w:p>
    <w:p w:rsidR="004256F1" w:rsidRDefault="00AF70D4">
      <w:pPr>
        <w:spacing w:line="560" w:lineRule="exact"/>
        <w:ind w:firstLineChars="200" w:firstLine="640"/>
        <w:rPr>
          <w:rFonts w:ascii="黑体" w:eastAsia="黑体" w:hAnsi="黑体"/>
          <w:sz w:val="32"/>
          <w:szCs w:val="32"/>
        </w:rPr>
      </w:pPr>
      <w:r>
        <w:rPr>
          <w:rFonts w:ascii="黑体" w:eastAsia="黑体" w:hAnsi="黑体" w:hint="eastAsia"/>
          <w:sz w:val="32"/>
          <w:szCs w:val="32"/>
        </w:rPr>
        <w:t>课题四：国外社会救助体系研究</w:t>
      </w:r>
    </w:p>
    <w:p w:rsidR="004256F1" w:rsidRDefault="00AF70D4">
      <w:pPr>
        <w:spacing w:line="560" w:lineRule="exact"/>
        <w:ind w:firstLineChars="200" w:firstLine="643"/>
        <w:rPr>
          <w:rFonts w:ascii="仿宋_GB2312" w:eastAsia="仿宋_GB2312"/>
          <w:sz w:val="32"/>
          <w:szCs w:val="32"/>
        </w:rPr>
      </w:pPr>
      <w:r>
        <w:rPr>
          <w:rFonts w:ascii="仿宋_GB2312" w:eastAsia="仿宋_GB2312" w:hAnsi="仿宋_GB2312" w:cs="仿宋_GB2312" w:hint="eastAsia"/>
          <w:b/>
          <w:bCs/>
          <w:sz w:val="32"/>
          <w:szCs w:val="32"/>
        </w:rPr>
        <w:t>研究背景：</w:t>
      </w:r>
      <w:r>
        <w:rPr>
          <w:rFonts w:ascii="仿宋_GB2312" w:eastAsia="仿宋_GB2312" w:hint="eastAsia"/>
          <w:sz w:val="32"/>
          <w:szCs w:val="32"/>
        </w:rPr>
        <w:t>《社会救助暂行办法》的出台初步构建了中国的社会救助基本体系，但其中的主要制度基本都是在实践过程中一步步摸索而来，对于社会救助体系的宏观架构仍缺少基础理论的构建。</w:t>
      </w:r>
    </w:p>
    <w:p w:rsidR="004256F1" w:rsidRDefault="00AF70D4">
      <w:pPr>
        <w:spacing w:line="560" w:lineRule="exact"/>
        <w:ind w:firstLineChars="200" w:firstLine="643"/>
        <w:rPr>
          <w:rFonts w:ascii="仿宋_GB2312" w:eastAsia="仿宋_GB2312"/>
          <w:sz w:val="32"/>
          <w:szCs w:val="32"/>
        </w:rPr>
      </w:pPr>
      <w:r>
        <w:rPr>
          <w:rFonts w:ascii="仿宋_GB2312" w:eastAsia="仿宋_GB2312" w:hAnsi="仿宋_GB2312" w:cs="仿宋_GB2312" w:hint="eastAsia"/>
          <w:b/>
          <w:bCs/>
          <w:sz w:val="32"/>
          <w:szCs w:val="32"/>
        </w:rPr>
        <w:t>课题目标：</w:t>
      </w:r>
      <w:r>
        <w:rPr>
          <w:rFonts w:ascii="仿宋_GB2312" w:eastAsia="仿宋_GB2312" w:hint="eastAsia"/>
          <w:sz w:val="32"/>
          <w:szCs w:val="32"/>
        </w:rPr>
        <w:t>课题将明晰社会救助、社会福利、社会救济、补贴与津贴等相关概念的关系与界限；汇总分析国外社会救助的基本类型（如以救助对象为标准、以救助方式为标准）；各典型国家现行社会救助体系分析（尤其是各救助制度之间的逻辑关系），形成的背景分析（如经济、社会、文化、历史等）；将来社会救助的发展趋势（着重分析分析芬兰等国家在2015年实行的全民补助方式的背景）。</w:t>
      </w:r>
    </w:p>
    <w:p w:rsidR="004256F1" w:rsidRDefault="00AF70D4">
      <w:pPr>
        <w:spacing w:line="560" w:lineRule="exact"/>
        <w:ind w:firstLineChars="200" w:firstLine="640"/>
        <w:rPr>
          <w:rFonts w:ascii="黑体" w:eastAsia="黑体" w:hAnsi="黑体"/>
          <w:sz w:val="32"/>
          <w:szCs w:val="32"/>
        </w:rPr>
      </w:pPr>
      <w:r>
        <w:rPr>
          <w:rFonts w:ascii="黑体" w:eastAsia="黑体" w:hAnsi="黑体" w:hint="eastAsia"/>
          <w:sz w:val="32"/>
          <w:szCs w:val="32"/>
        </w:rPr>
        <w:t>课题五：</w:t>
      </w:r>
      <w:r>
        <w:rPr>
          <w:rFonts w:ascii="黑体" w:eastAsia="黑体" w:hAnsi="黑体" w:cs="黑体" w:hint="eastAsia"/>
          <w:sz w:val="32"/>
          <w:szCs w:val="32"/>
        </w:rPr>
        <w:t>国外规制影响评估制度实践研究</w:t>
      </w:r>
    </w:p>
    <w:p w:rsidR="004256F1" w:rsidRDefault="00AF70D4">
      <w:pPr>
        <w:spacing w:line="560" w:lineRule="exact"/>
        <w:ind w:firstLineChars="200" w:firstLine="643"/>
        <w:rPr>
          <w:rFonts w:ascii="仿宋_GB2312" w:eastAsia="仿宋_GB2312"/>
          <w:sz w:val="32"/>
          <w:szCs w:val="32"/>
        </w:rPr>
      </w:pPr>
      <w:r>
        <w:rPr>
          <w:rFonts w:ascii="仿宋_GB2312" w:eastAsia="仿宋_GB2312" w:hAnsi="仿宋_GB2312" w:cs="仿宋_GB2312" w:hint="eastAsia"/>
          <w:b/>
          <w:bCs/>
          <w:sz w:val="32"/>
          <w:szCs w:val="32"/>
        </w:rPr>
        <w:t>研究背景：</w:t>
      </w:r>
      <w:r>
        <w:rPr>
          <w:rFonts w:ascii="仿宋_GB2312" w:eastAsia="仿宋_GB2312" w:hint="eastAsia"/>
          <w:sz w:val="32"/>
          <w:szCs w:val="32"/>
        </w:rPr>
        <w:t>政府规制是全面推进行政审批改革、推动法治政府加快建设和经济转型升级的重中之重，党政工作者，特别是政府法制工作者，必须要对之有所把握。政府规制的现象无处不在，从放牧费到排污费，从金融机构到福利和教育，事实上我们的社会或生活无不深受政府的影响。除了无处不在的特点，政府规制还有另一特征——明显地不为大众所欢迎。</w:t>
      </w:r>
    </w:p>
    <w:p w:rsidR="004256F1" w:rsidRDefault="00AF70D4">
      <w:pPr>
        <w:spacing w:line="560" w:lineRule="exact"/>
        <w:ind w:firstLineChars="200" w:firstLine="643"/>
        <w:rPr>
          <w:rFonts w:ascii="仿宋_GB2312" w:eastAsia="仿宋_GB2312"/>
          <w:sz w:val="32"/>
          <w:szCs w:val="32"/>
        </w:rPr>
      </w:pPr>
      <w:r>
        <w:rPr>
          <w:rFonts w:ascii="仿宋_GB2312" w:eastAsia="仿宋_GB2312" w:hAnsi="仿宋_GB2312" w:cs="仿宋_GB2312" w:hint="eastAsia"/>
          <w:b/>
          <w:bCs/>
          <w:sz w:val="32"/>
          <w:szCs w:val="32"/>
        </w:rPr>
        <w:t>课题目标：</w:t>
      </w:r>
      <w:r>
        <w:rPr>
          <w:rFonts w:ascii="仿宋_GB2312" w:eastAsia="仿宋_GB2312" w:hint="eastAsia"/>
          <w:sz w:val="32"/>
          <w:szCs w:val="32"/>
        </w:rPr>
        <w:t>国外规制影响评估的实践以及借鉴意义。帮助我们在认清管制国家的实体目标和规范，了解国外关于规</w:t>
      </w:r>
      <w:r>
        <w:rPr>
          <w:rFonts w:ascii="仿宋_GB2312" w:eastAsia="仿宋_GB2312" w:hint="eastAsia"/>
          <w:sz w:val="32"/>
          <w:szCs w:val="32"/>
        </w:rPr>
        <w:lastRenderedPageBreak/>
        <w:t>制影响评估制度的实践发展，为行政管理改革提供思路，推动建立具有我国特色的规制影响评估制度。</w:t>
      </w:r>
    </w:p>
    <w:p w:rsidR="004256F1" w:rsidRDefault="00AF70D4">
      <w:pPr>
        <w:spacing w:line="560" w:lineRule="exact"/>
        <w:ind w:firstLineChars="200" w:firstLine="640"/>
        <w:rPr>
          <w:rFonts w:ascii="黑体" w:eastAsia="黑体" w:hAnsi="黑体"/>
          <w:sz w:val="32"/>
          <w:szCs w:val="32"/>
        </w:rPr>
      </w:pPr>
      <w:r>
        <w:rPr>
          <w:rFonts w:ascii="黑体" w:eastAsia="黑体" w:hAnsi="黑体" w:cs="黑体" w:hint="eastAsia"/>
          <w:sz w:val="32"/>
          <w:szCs w:val="32"/>
        </w:rPr>
        <w:t>课题六：</w:t>
      </w:r>
      <w:r>
        <w:rPr>
          <w:rFonts w:ascii="黑体" w:eastAsia="黑体" w:hAnsi="黑体" w:hint="eastAsia"/>
          <w:sz w:val="32"/>
          <w:szCs w:val="32"/>
        </w:rPr>
        <w:t>行政复议和行政诉讼中的规范性文件附带审查理论与实践研究</w:t>
      </w:r>
    </w:p>
    <w:p w:rsidR="004256F1" w:rsidRDefault="00AF70D4">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研究背景：</w:t>
      </w:r>
      <w:r>
        <w:rPr>
          <w:rFonts w:ascii="仿宋_GB2312" w:eastAsia="仿宋_GB2312" w:hAnsi="仿宋_GB2312" w:cs="仿宋_GB2312" w:hint="eastAsia"/>
          <w:sz w:val="32"/>
          <w:szCs w:val="32"/>
        </w:rPr>
        <w:t>新《行政诉讼法》对规范性文件附带审查制度作出了专门规定，实现了与行政复议法相关规定的制度衔接。而在实务中，规范性文件附带审查制度实践仍存在困惑；</w:t>
      </w:r>
    </w:p>
    <w:p w:rsidR="004256F1" w:rsidRDefault="00AF70D4">
      <w:pPr>
        <w:spacing w:line="560" w:lineRule="exact"/>
        <w:ind w:firstLineChars="200" w:firstLine="643"/>
        <w:rPr>
          <w:rFonts w:ascii="仿宋_GB2312" w:eastAsia="仿宋_GB2312"/>
          <w:sz w:val="32"/>
          <w:szCs w:val="32"/>
        </w:rPr>
      </w:pPr>
      <w:r>
        <w:rPr>
          <w:rFonts w:ascii="仿宋_GB2312" w:eastAsia="仿宋_GB2312" w:hAnsi="仿宋_GB2312" w:cs="仿宋_GB2312" w:hint="eastAsia"/>
          <w:b/>
          <w:bCs/>
          <w:sz w:val="32"/>
          <w:szCs w:val="32"/>
        </w:rPr>
        <w:t>课题目标：</w:t>
      </w:r>
      <w:r>
        <w:rPr>
          <w:rFonts w:ascii="仿宋_GB2312" w:eastAsia="仿宋_GB2312" w:hAnsi="仿宋_GB2312" w:cs="仿宋_GB2312" w:hint="eastAsia"/>
          <w:sz w:val="32"/>
          <w:szCs w:val="32"/>
        </w:rPr>
        <w:t>课题研究着眼于解决实践中遇到的问题，对规范性文件的范围界定、“有权机关”的确定所指、附带审查的标准以及相应的工作机制和体系等方面内容进行系统梳理。</w:t>
      </w:r>
    </w:p>
    <w:p w:rsidR="004256F1" w:rsidRDefault="00AF70D4">
      <w:pPr>
        <w:spacing w:line="560" w:lineRule="exact"/>
        <w:ind w:firstLineChars="200" w:firstLine="640"/>
        <w:rPr>
          <w:rFonts w:ascii="楷体_GB2312" w:eastAsia="楷体_GB2312" w:hAnsi="楷体_GB2312" w:cs="楷体_GB2312"/>
          <w:sz w:val="32"/>
          <w:szCs w:val="32"/>
        </w:rPr>
      </w:pPr>
      <w:r>
        <w:rPr>
          <w:rFonts w:ascii="黑体" w:eastAsia="黑体" w:hAnsi="黑体" w:cs="黑体" w:hint="eastAsia"/>
          <w:sz w:val="32"/>
          <w:szCs w:val="32"/>
        </w:rPr>
        <w:t>课题七：</w:t>
      </w:r>
      <w:r>
        <w:rPr>
          <w:rFonts w:ascii="黑体" w:eastAsia="黑体" w:hAnsi="黑体" w:hint="eastAsia"/>
          <w:sz w:val="32"/>
          <w:szCs w:val="32"/>
        </w:rPr>
        <w:t>推进行政复议和行政应诉人员专业化、职业化的制度设计研究</w:t>
      </w:r>
    </w:p>
    <w:p w:rsidR="004256F1" w:rsidRDefault="00AF70D4">
      <w:pPr>
        <w:spacing w:line="560" w:lineRule="exact"/>
        <w:ind w:firstLineChars="200" w:firstLine="643"/>
        <w:rPr>
          <w:rFonts w:ascii="仿宋_GB2312" w:eastAsia="仿宋_GB2312"/>
          <w:sz w:val="32"/>
          <w:szCs w:val="32"/>
        </w:rPr>
      </w:pPr>
      <w:r>
        <w:rPr>
          <w:rFonts w:ascii="仿宋_GB2312" w:eastAsia="仿宋_GB2312" w:hAnsi="仿宋_GB2312" w:cs="仿宋_GB2312" w:hint="eastAsia"/>
          <w:b/>
          <w:bCs/>
          <w:sz w:val="32"/>
          <w:szCs w:val="32"/>
        </w:rPr>
        <w:t>研究背景：</w:t>
      </w:r>
      <w:r>
        <w:rPr>
          <w:rFonts w:ascii="仿宋_GB2312" w:eastAsia="仿宋_GB2312" w:hint="eastAsia"/>
          <w:sz w:val="32"/>
          <w:szCs w:val="32"/>
        </w:rPr>
        <w:t>中共中央、国务院2015年12月23日印发《法治政府建设实施纲要（2015－2020年）》，再一次明确了行政复议解决行政争议的法定渠道定位和充分发挥作用的要求，并提出增强行政复议的专业性、切实提高行政复议人员素质的工作措施。北京市委深改领导小组2015年12月11日印发《法治中国首善之区建设重要举措实施规划（2015-2020年）》，更加具体地提出“加强行政复议和应诉能力建设，提高行政复议的专业化和规范化水平”的目标和“推进行政复议和行政应诉人员专业化、职业化，建立并落实相关工作制度”的任务。</w:t>
      </w:r>
    </w:p>
    <w:p w:rsidR="004256F1" w:rsidRDefault="00AF70D4">
      <w:pPr>
        <w:spacing w:line="560" w:lineRule="exact"/>
        <w:ind w:firstLineChars="200" w:firstLine="643"/>
        <w:rPr>
          <w:rFonts w:ascii="仿宋_GB2312" w:eastAsia="仿宋_GB2312"/>
          <w:b/>
          <w:bCs/>
          <w:sz w:val="32"/>
          <w:szCs w:val="32"/>
        </w:rPr>
      </w:pPr>
      <w:r>
        <w:rPr>
          <w:rFonts w:ascii="仿宋_GB2312" w:eastAsia="仿宋_GB2312" w:hAnsi="仿宋_GB2312" w:cs="仿宋_GB2312" w:hint="eastAsia"/>
          <w:b/>
          <w:bCs/>
          <w:sz w:val="32"/>
          <w:szCs w:val="32"/>
        </w:rPr>
        <w:t>课题目标</w:t>
      </w:r>
      <w:r>
        <w:rPr>
          <w:rFonts w:ascii="仿宋_GB2312" w:eastAsia="仿宋_GB2312" w:hint="eastAsia"/>
          <w:b/>
          <w:bCs/>
          <w:sz w:val="32"/>
          <w:szCs w:val="32"/>
        </w:rPr>
        <w:t>：</w:t>
      </w:r>
    </w:p>
    <w:p w:rsidR="004256F1" w:rsidRDefault="00AF70D4">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1、什么是行政复议和行政应诉人员专业化、职业化？</w:t>
      </w:r>
    </w:p>
    <w:p w:rsidR="004256F1" w:rsidRDefault="00AF70D4">
      <w:pPr>
        <w:spacing w:line="560" w:lineRule="exact"/>
        <w:ind w:firstLineChars="200" w:firstLine="640"/>
        <w:rPr>
          <w:rFonts w:ascii="仿宋_GB2312" w:eastAsia="仿宋_GB2312"/>
          <w:sz w:val="32"/>
          <w:szCs w:val="32"/>
        </w:rPr>
      </w:pPr>
      <w:r>
        <w:rPr>
          <w:rFonts w:ascii="仿宋_GB2312" w:eastAsia="仿宋_GB2312" w:hint="eastAsia"/>
          <w:sz w:val="32"/>
          <w:szCs w:val="32"/>
        </w:rPr>
        <w:t>2、行政复议和行政应诉人员专业化、职业化的必要性；</w:t>
      </w:r>
    </w:p>
    <w:p w:rsidR="004256F1" w:rsidRDefault="00AF70D4">
      <w:pPr>
        <w:spacing w:line="560" w:lineRule="exact"/>
        <w:ind w:firstLineChars="200" w:firstLine="640"/>
        <w:rPr>
          <w:rFonts w:ascii="仿宋_GB2312" w:eastAsia="仿宋_GB2312"/>
          <w:sz w:val="32"/>
          <w:szCs w:val="32"/>
        </w:rPr>
      </w:pPr>
      <w:r>
        <w:rPr>
          <w:rFonts w:ascii="仿宋_GB2312" w:eastAsia="仿宋_GB2312" w:hint="eastAsia"/>
          <w:sz w:val="32"/>
          <w:szCs w:val="32"/>
        </w:rPr>
        <w:t>3、行政复议和行政应诉人员专业化、职业化的可行性；</w:t>
      </w:r>
    </w:p>
    <w:p w:rsidR="004256F1" w:rsidRDefault="00AF70D4">
      <w:pPr>
        <w:spacing w:line="560" w:lineRule="exact"/>
        <w:ind w:firstLineChars="200" w:firstLine="640"/>
        <w:rPr>
          <w:rFonts w:ascii="仿宋_GB2312" w:eastAsia="仿宋_GB2312"/>
          <w:sz w:val="32"/>
          <w:szCs w:val="32"/>
        </w:rPr>
      </w:pPr>
      <w:r>
        <w:rPr>
          <w:rFonts w:ascii="仿宋_GB2312" w:eastAsia="仿宋_GB2312" w:hint="eastAsia"/>
          <w:sz w:val="32"/>
          <w:szCs w:val="32"/>
        </w:rPr>
        <w:t>4、行政复议和行政应诉人员专业化、职业化定位下与一般行政机关工作人员和法院审判人员的异同？</w:t>
      </w:r>
    </w:p>
    <w:p w:rsidR="004256F1" w:rsidRDefault="00AF70D4">
      <w:pPr>
        <w:spacing w:line="560" w:lineRule="exact"/>
        <w:ind w:firstLineChars="200" w:firstLine="640"/>
        <w:rPr>
          <w:rFonts w:ascii="仿宋_GB2312" w:eastAsia="仿宋_GB2312"/>
          <w:sz w:val="32"/>
          <w:szCs w:val="32"/>
        </w:rPr>
      </w:pPr>
      <w:r>
        <w:rPr>
          <w:rFonts w:ascii="仿宋_GB2312" w:eastAsia="仿宋_GB2312" w:hint="eastAsia"/>
          <w:sz w:val="32"/>
          <w:szCs w:val="32"/>
        </w:rPr>
        <w:t>5、行政复议和行政应诉人员专业化、职业化的具体体现形式、内容、标准是什么？</w:t>
      </w:r>
    </w:p>
    <w:p w:rsidR="004256F1" w:rsidRDefault="00AF70D4">
      <w:pPr>
        <w:spacing w:line="560" w:lineRule="exact"/>
        <w:ind w:firstLineChars="200" w:firstLine="640"/>
        <w:rPr>
          <w:rFonts w:ascii="仿宋_GB2312" w:eastAsia="仿宋_GB2312"/>
          <w:sz w:val="32"/>
          <w:szCs w:val="32"/>
        </w:rPr>
      </w:pPr>
      <w:r>
        <w:rPr>
          <w:rFonts w:ascii="仿宋_GB2312" w:eastAsia="仿宋_GB2312" w:hint="eastAsia"/>
          <w:sz w:val="32"/>
          <w:szCs w:val="32"/>
        </w:rPr>
        <w:t>6、推进行政复议和行政应诉人员专业化、职业化的具体路径和制度设计。比如：法律职业资格准入制度、复议应诉专门资格管理制度、职业培训交流制度、职业考核制度、职业晋升制度、职业福利待遇制度、职业责任追究制度，职业辅助人员配备、职业形象包装、职业办公场所、职业办公设备、职业交通保障等配套制度。</w:t>
      </w:r>
    </w:p>
    <w:p w:rsidR="004256F1" w:rsidRDefault="00AF70D4">
      <w:pPr>
        <w:spacing w:line="560" w:lineRule="exact"/>
        <w:ind w:firstLineChars="200" w:firstLine="640"/>
        <w:rPr>
          <w:rFonts w:ascii="仿宋_GB2312" w:eastAsia="仿宋_GB2312"/>
          <w:sz w:val="32"/>
          <w:szCs w:val="32"/>
        </w:rPr>
      </w:pPr>
      <w:r>
        <w:rPr>
          <w:rFonts w:ascii="仿宋_GB2312" w:eastAsia="仿宋_GB2312" w:hint="eastAsia"/>
          <w:sz w:val="32"/>
          <w:szCs w:val="32"/>
        </w:rPr>
        <w:t>在不违背国家大政方针、保证法制统一的前提下，地方性地积极探索一套行之有效的制度化的行政复议和行政应诉人员专业化、职业化体制机制，保障行政复议和行政应诉人员的高素质、高能力、高效率、相对稳定、自我激励，形成一支人岗匹配、专注岗位职责、良性稳定发展的专家型办案队伍。</w:t>
      </w:r>
    </w:p>
    <w:p w:rsidR="004256F1" w:rsidRDefault="00AF70D4">
      <w:pPr>
        <w:spacing w:line="560" w:lineRule="exact"/>
        <w:ind w:firstLineChars="200" w:firstLine="640"/>
        <w:rPr>
          <w:rFonts w:ascii="楷体_GB2312" w:eastAsia="楷体_GB2312" w:hAnsi="楷体_GB2312" w:cs="楷体_GB2312"/>
          <w:sz w:val="32"/>
          <w:szCs w:val="32"/>
        </w:rPr>
      </w:pPr>
      <w:r>
        <w:rPr>
          <w:rFonts w:ascii="黑体" w:eastAsia="黑体" w:hAnsi="黑体" w:cs="黑体" w:hint="eastAsia"/>
          <w:sz w:val="32"/>
          <w:szCs w:val="32"/>
        </w:rPr>
        <w:t>课题八：</w:t>
      </w:r>
      <w:r>
        <w:rPr>
          <w:rFonts w:ascii="黑体" w:eastAsia="黑体" w:hAnsi="黑体" w:hint="eastAsia"/>
          <w:sz w:val="32"/>
          <w:szCs w:val="32"/>
        </w:rPr>
        <w:t>政府投资</w:t>
      </w:r>
      <w:r>
        <w:rPr>
          <w:rFonts w:ascii="黑体" w:eastAsia="黑体" w:hAnsi="黑体"/>
          <w:sz w:val="32"/>
          <w:szCs w:val="32"/>
        </w:rPr>
        <w:t>高等教育的法律规则</w:t>
      </w:r>
      <w:r>
        <w:rPr>
          <w:rFonts w:ascii="黑体" w:eastAsia="黑体" w:hAnsi="黑体" w:hint="eastAsia"/>
          <w:sz w:val="32"/>
          <w:szCs w:val="32"/>
        </w:rPr>
        <w:t>研究</w:t>
      </w:r>
    </w:p>
    <w:p w:rsidR="004256F1" w:rsidRDefault="00AF70D4">
      <w:pPr>
        <w:spacing w:line="560" w:lineRule="exact"/>
        <w:ind w:firstLineChars="200" w:firstLine="643"/>
        <w:rPr>
          <w:rFonts w:ascii="仿宋_GB2312" w:eastAsia="仿宋_GB2312"/>
          <w:sz w:val="32"/>
          <w:szCs w:val="32"/>
        </w:rPr>
      </w:pPr>
      <w:r>
        <w:rPr>
          <w:rFonts w:ascii="仿宋_GB2312" w:eastAsia="仿宋_GB2312" w:hAnsi="仿宋_GB2312" w:cs="仿宋_GB2312" w:hint="eastAsia"/>
          <w:b/>
          <w:bCs/>
          <w:sz w:val="32"/>
          <w:szCs w:val="32"/>
        </w:rPr>
        <w:t>研究背景：</w:t>
      </w:r>
      <w:r>
        <w:rPr>
          <w:rFonts w:ascii="仿宋_GB2312" w:eastAsia="仿宋_GB2312"/>
          <w:sz w:val="32"/>
          <w:szCs w:val="32"/>
        </w:rPr>
        <w:t>高等教育承担着培养高级专门人才、发展科学技术文化、促进现代化建设的重大任务，加强高等教育是国家实施科教兴国和人才强国战略的根本途径。政府对高等教育的投资是支撑国家长远发展的基础性、战略性投资，是</w:t>
      </w:r>
      <w:r>
        <w:rPr>
          <w:rFonts w:ascii="仿宋_GB2312" w:eastAsia="仿宋_GB2312"/>
          <w:sz w:val="32"/>
          <w:szCs w:val="32"/>
        </w:rPr>
        <w:lastRenderedPageBreak/>
        <w:t>发展高等教育的物质基础，是政府财政保障的重点。中国进入高等教育大众化阶段以来，高等教育政府投资的资金不足、投资不公平和资金使用效益低等问题并存。这不仅制约了高等教育的发展，更制约了经济社会长期、快速的发展。</w:t>
      </w:r>
    </w:p>
    <w:p w:rsidR="004256F1" w:rsidRDefault="00AF70D4">
      <w:pPr>
        <w:spacing w:line="560" w:lineRule="exact"/>
        <w:ind w:firstLineChars="200" w:firstLine="640"/>
        <w:rPr>
          <w:rFonts w:ascii="仿宋_GB2312" w:eastAsia="仿宋_GB2312"/>
          <w:sz w:val="32"/>
          <w:szCs w:val="32"/>
        </w:rPr>
      </w:pPr>
      <w:r>
        <w:rPr>
          <w:rFonts w:ascii="仿宋_GB2312" w:eastAsia="仿宋_GB2312"/>
          <w:sz w:val="32"/>
          <w:szCs w:val="32"/>
        </w:rPr>
        <w:t>我国高等教育投资法律滞后于高等教育投资实践，高等教育投资的</w:t>
      </w:r>
      <w:r>
        <w:rPr>
          <w:rFonts w:ascii="仿宋_GB2312" w:eastAsia="仿宋_GB2312" w:hint="eastAsia"/>
          <w:sz w:val="32"/>
          <w:szCs w:val="32"/>
        </w:rPr>
        <w:t>投资标准、投资程序、投资监督</w:t>
      </w:r>
      <w:r>
        <w:rPr>
          <w:rFonts w:ascii="仿宋_GB2312" w:eastAsia="仿宋_GB2312"/>
          <w:sz w:val="32"/>
          <w:szCs w:val="32"/>
        </w:rPr>
        <w:t>和</w:t>
      </w:r>
      <w:r>
        <w:rPr>
          <w:rFonts w:ascii="仿宋_GB2312" w:eastAsia="仿宋_GB2312" w:hint="eastAsia"/>
          <w:sz w:val="32"/>
          <w:szCs w:val="32"/>
        </w:rPr>
        <w:t>绩效评估等欠缺</w:t>
      </w:r>
      <w:r>
        <w:rPr>
          <w:rFonts w:ascii="仿宋_GB2312" w:eastAsia="仿宋_GB2312"/>
          <w:sz w:val="32"/>
          <w:szCs w:val="32"/>
        </w:rPr>
        <w:t>法律</w:t>
      </w:r>
      <w:r>
        <w:rPr>
          <w:rFonts w:ascii="仿宋_GB2312" w:eastAsia="仿宋_GB2312" w:hint="eastAsia"/>
          <w:sz w:val="32"/>
          <w:szCs w:val="32"/>
        </w:rPr>
        <w:t>规范</w:t>
      </w:r>
      <w:r>
        <w:rPr>
          <w:rFonts w:ascii="仿宋_GB2312" w:eastAsia="仿宋_GB2312"/>
          <w:sz w:val="32"/>
          <w:szCs w:val="32"/>
        </w:rPr>
        <w:t>，导致政府投资责任虚化</w:t>
      </w:r>
      <w:r>
        <w:rPr>
          <w:rFonts w:ascii="仿宋_GB2312" w:eastAsia="仿宋_GB2312" w:hint="eastAsia"/>
          <w:sz w:val="32"/>
          <w:szCs w:val="32"/>
        </w:rPr>
        <w:t>和</w:t>
      </w:r>
      <w:r>
        <w:rPr>
          <w:rFonts w:ascii="仿宋_GB2312" w:eastAsia="仿宋_GB2312"/>
          <w:sz w:val="32"/>
          <w:szCs w:val="32"/>
        </w:rPr>
        <w:t>投资绩效低。</w:t>
      </w:r>
      <w:r>
        <w:rPr>
          <w:rFonts w:ascii="仿宋_GB2312" w:eastAsia="仿宋_GB2312" w:hint="eastAsia"/>
          <w:sz w:val="32"/>
          <w:szCs w:val="32"/>
        </w:rPr>
        <w:t>在依法治国和建设法治政府的大背景下，</w:t>
      </w:r>
      <w:r>
        <w:rPr>
          <w:rFonts w:ascii="仿宋_GB2312" w:eastAsia="仿宋_GB2312"/>
          <w:sz w:val="32"/>
          <w:szCs w:val="32"/>
        </w:rPr>
        <w:t>高等教育投资权作为一种行政权力，应该纳入到法治轨道，进行合理的配置与监督。高等教育投资立法需要强化政府投资责任，促进投资过程科学、公平和民主，提高资金使用效益。</w:t>
      </w:r>
    </w:p>
    <w:p w:rsidR="004256F1" w:rsidRDefault="00AF70D4">
      <w:pPr>
        <w:spacing w:line="560" w:lineRule="exact"/>
        <w:ind w:firstLineChars="200" w:firstLine="643"/>
        <w:rPr>
          <w:rFonts w:ascii="仿宋_GB2312" w:eastAsia="仿宋_GB2312"/>
          <w:b/>
          <w:bCs/>
          <w:sz w:val="32"/>
          <w:szCs w:val="32"/>
        </w:rPr>
      </w:pPr>
      <w:r>
        <w:rPr>
          <w:rFonts w:ascii="仿宋_GB2312" w:eastAsia="仿宋_GB2312" w:hAnsi="仿宋_GB2312" w:cs="仿宋_GB2312" w:hint="eastAsia"/>
          <w:b/>
          <w:bCs/>
          <w:sz w:val="32"/>
          <w:szCs w:val="32"/>
        </w:rPr>
        <w:t>课题目标</w:t>
      </w:r>
      <w:r>
        <w:rPr>
          <w:rFonts w:ascii="仿宋_GB2312" w:eastAsia="仿宋_GB2312" w:hint="eastAsia"/>
          <w:b/>
          <w:bCs/>
          <w:sz w:val="32"/>
          <w:szCs w:val="32"/>
        </w:rPr>
        <w:t>：</w:t>
      </w:r>
      <w:r>
        <w:rPr>
          <w:rFonts w:ascii="仿宋_GB2312" w:eastAsia="仿宋_GB2312" w:hint="eastAsia"/>
          <w:sz w:val="32"/>
          <w:szCs w:val="32"/>
        </w:rPr>
        <w:t>本</w:t>
      </w:r>
      <w:r>
        <w:rPr>
          <w:rFonts w:ascii="仿宋_GB2312" w:eastAsia="仿宋_GB2312"/>
          <w:sz w:val="32"/>
          <w:szCs w:val="32"/>
        </w:rPr>
        <w:t>课题政府投资高等教育的几个核心问题</w:t>
      </w:r>
      <w:r>
        <w:rPr>
          <w:rFonts w:ascii="仿宋_GB2312" w:eastAsia="仿宋_GB2312" w:hint="eastAsia"/>
          <w:sz w:val="32"/>
          <w:szCs w:val="32"/>
        </w:rPr>
        <w:t>展开</w:t>
      </w:r>
      <w:r>
        <w:rPr>
          <w:rFonts w:ascii="仿宋_GB2312" w:eastAsia="仿宋_GB2312"/>
          <w:sz w:val="32"/>
          <w:szCs w:val="32"/>
        </w:rPr>
        <w:t>：如何划分</w:t>
      </w:r>
      <w:r>
        <w:rPr>
          <w:rFonts w:ascii="仿宋_GB2312" w:eastAsia="仿宋_GB2312" w:hint="eastAsia"/>
          <w:sz w:val="32"/>
          <w:szCs w:val="32"/>
        </w:rPr>
        <w:t>中央</w:t>
      </w:r>
      <w:r>
        <w:rPr>
          <w:rFonts w:ascii="仿宋_GB2312" w:eastAsia="仿宋_GB2312"/>
          <w:sz w:val="32"/>
          <w:szCs w:val="32"/>
        </w:rPr>
        <w:t>政府</w:t>
      </w:r>
      <w:r>
        <w:rPr>
          <w:rFonts w:ascii="仿宋_GB2312" w:eastAsia="仿宋_GB2312" w:hint="eastAsia"/>
          <w:sz w:val="32"/>
          <w:szCs w:val="32"/>
        </w:rPr>
        <w:t>与</w:t>
      </w:r>
      <w:r>
        <w:rPr>
          <w:rFonts w:ascii="仿宋_GB2312" w:eastAsia="仿宋_GB2312"/>
          <w:sz w:val="32"/>
          <w:szCs w:val="32"/>
        </w:rPr>
        <w:t>地方</w:t>
      </w:r>
      <w:r w:rsidR="00181F2F">
        <w:rPr>
          <w:rFonts w:ascii="仿宋_GB2312" w:eastAsia="仿宋_GB2312" w:hint="eastAsia"/>
          <w:sz w:val="32"/>
          <w:szCs w:val="32"/>
        </w:rPr>
        <w:t>政府</w:t>
      </w:r>
      <w:r>
        <w:rPr>
          <w:rFonts w:ascii="仿宋_GB2312" w:eastAsia="仿宋_GB2312" w:hint="eastAsia"/>
          <w:sz w:val="32"/>
          <w:szCs w:val="32"/>
        </w:rPr>
        <w:t>的</w:t>
      </w:r>
      <w:r>
        <w:rPr>
          <w:rFonts w:ascii="仿宋_GB2312" w:eastAsia="仿宋_GB2312"/>
          <w:sz w:val="32"/>
          <w:szCs w:val="32"/>
        </w:rPr>
        <w:t>投资责任？投资</w:t>
      </w:r>
      <w:r>
        <w:rPr>
          <w:rFonts w:ascii="仿宋_GB2312" w:eastAsia="仿宋_GB2312" w:hint="eastAsia"/>
          <w:sz w:val="32"/>
          <w:szCs w:val="32"/>
        </w:rPr>
        <w:t>的</w:t>
      </w:r>
      <w:r>
        <w:rPr>
          <w:rFonts w:ascii="仿宋_GB2312" w:eastAsia="仿宋_GB2312"/>
          <w:sz w:val="32"/>
          <w:szCs w:val="32"/>
        </w:rPr>
        <w:t>程序</w:t>
      </w:r>
      <w:r>
        <w:rPr>
          <w:rFonts w:ascii="仿宋_GB2312" w:eastAsia="仿宋_GB2312" w:hint="eastAsia"/>
          <w:sz w:val="32"/>
          <w:szCs w:val="32"/>
        </w:rPr>
        <w:t>制度</w:t>
      </w:r>
      <w:r>
        <w:rPr>
          <w:rFonts w:ascii="仿宋_GB2312" w:eastAsia="仿宋_GB2312"/>
          <w:sz w:val="32"/>
          <w:szCs w:val="32"/>
        </w:rPr>
        <w:t>如何</w:t>
      </w:r>
      <w:r>
        <w:rPr>
          <w:rFonts w:ascii="仿宋_GB2312" w:eastAsia="仿宋_GB2312" w:hint="eastAsia"/>
          <w:sz w:val="32"/>
          <w:szCs w:val="32"/>
        </w:rPr>
        <w:t>设计</w:t>
      </w:r>
      <w:r>
        <w:rPr>
          <w:rFonts w:ascii="仿宋_GB2312" w:eastAsia="仿宋_GB2312"/>
          <w:sz w:val="32"/>
          <w:szCs w:val="32"/>
        </w:rPr>
        <w:t>？如何</w:t>
      </w:r>
      <w:r>
        <w:rPr>
          <w:rFonts w:ascii="仿宋_GB2312" w:eastAsia="仿宋_GB2312" w:hint="eastAsia"/>
          <w:sz w:val="32"/>
          <w:szCs w:val="32"/>
        </w:rPr>
        <w:t>提高</w:t>
      </w:r>
      <w:r>
        <w:rPr>
          <w:rFonts w:ascii="仿宋_GB2312" w:eastAsia="仿宋_GB2312"/>
          <w:sz w:val="32"/>
          <w:szCs w:val="32"/>
        </w:rPr>
        <w:t>政府投资</w:t>
      </w:r>
      <w:r>
        <w:rPr>
          <w:rFonts w:ascii="仿宋_GB2312" w:eastAsia="仿宋_GB2312" w:hint="eastAsia"/>
          <w:sz w:val="32"/>
          <w:szCs w:val="32"/>
        </w:rPr>
        <w:t>绩效</w:t>
      </w:r>
      <w:r>
        <w:rPr>
          <w:rFonts w:ascii="仿宋_GB2312" w:eastAsia="仿宋_GB2312"/>
          <w:sz w:val="32"/>
          <w:szCs w:val="32"/>
        </w:rPr>
        <w:t>？如何构建</w:t>
      </w:r>
      <w:r>
        <w:rPr>
          <w:rFonts w:ascii="仿宋_GB2312" w:eastAsia="仿宋_GB2312" w:hint="eastAsia"/>
          <w:sz w:val="32"/>
          <w:szCs w:val="32"/>
        </w:rPr>
        <w:t>完善</w:t>
      </w:r>
      <w:r>
        <w:rPr>
          <w:rFonts w:ascii="仿宋_GB2312" w:eastAsia="仿宋_GB2312"/>
          <w:sz w:val="32"/>
          <w:szCs w:val="32"/>
        </w:rPr>
        <w:t>高等教育投资法律</w:t>
      </w:r>
      <w:r>
        <w:rPr>
          <w:rFonts w:ascii="仿宋_GB2312" w:eastAsia="仿宋_GB2312" w:hint="eastAsia"/>
          <w:sz w:val="32"/>
          <w:szCs w:val="32"/>
        </w:rPr>
        <w:t>制度</w:t>
      </w:r>
      <w:r>
        <w:rPr>
          <w:rFonts w:ascii="仿宋_GB2312" w:eastAsia="仿宋_GB2312"/>
          <w:sz w:val="32"/>
          <w:szCs w:val="32"/>
        </w:rPr>
        <w:t>？</w:t>
      </w:r>
      <w:r>
        <w:rPr>
          <w:rFonts w:ascii="仿宋_GB2312" w:eastAsia="仿宋_GB2312" w:hint="eastAsia"/>
          <w:sz w:val="32"/>
          <w:szCs w:val="32"/>
        </w:rPr>
        <w:t>高等</w:t>
      </w:r>
      <w:r>
        <w:rPr>
          <w:rFonts w:ascii="仿宋_GB2312" w:eastAsia="仿宋_GB2312"/>
          <w:sz w:val="32"/>
          <w:szCs w:val="32"/>
        </w:rPr>
        <w:t>教育发达国家的高等教育投资法律制度如何？</w:t>
      </w:r>
    </w:p>
    <w:p w:rsidR="004256F1" w:rsidRDefault="004256F1">
      <w:pPr>
        <w:spacing w:line="560" w:lineRule="exact"/>
        <w:ind w:firstLineChars="200" w:firstLine="640"/>
        <w:rPr>
          <w:rFonts w:ascii="仿宋_GB2312" w:eastAsia="仿宋_GB2312"/>
          <w:sz w:val="32"/>
          <w:szCs w:val="32"/>
        </w:rPr>
      </w:pPr>
    </w:p>
    <w:p w:rsidR="004256F1" w:rsidRDefault="00AF70D4">
      <w:pPr>
        <w:spacing w:line="560" w:lineRule="exact"/>
        <w:ind w:firstLineChars="200" w:firstLine="640"/>
        <w:rPr>
          <w:rFonts w:ascii="楷体_GB2312" w:eastAsia="楷体_GB2312" w:hAnsi="楷体_GB2312" w:cs="楷体_GB2312"/>
          <w:sz w:val="32"/>
          <w:szCs w:val="32"/>
        </w:rPr>
      </w:pPr>
      <w:r>
        <w:rPr>
          <w:rFonts w:ascii="黑体" w:eastAsia="黑体" w:hAnsi="黑体" w:cs="黑体" w:hint="eastAsia"/>
          <w:sz w:val="32"/>
          <w:szCs w:val="32"/>
        </w:rPr>
        <w:t>课题九：</w:t>
      </w:r>
      <w:r>
        <w:rPr>
          <w:rFonts w:ascii="黑体" w:eastAsia="黑体" w:hAnsi="黑体" w:hint="eastAsia"/>
          <w:sz w:val="32"/>
          <w:szCs w:val="32"/>
        </w:rPr>
        <w:t>产业</w:t>
      </w:r>
      <w:r>
        <w:rPr>
          <w:rFonts w:ascii="黑体" w:eastAsia="黑体" w:hAnsi="黑体"/>
          <w:sz w:val="32"/>
          <w:szCs w:val="32"/>
        </w:rPr>
        <w:t>发展与疏解的法律支撑研究</w:t>
      </w:r>
    </w:p>
    <w:p w:rsidR="004256F1" w:rsidRDefault="00AF70D4">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研究背景：</w:t>
      </w:r>
      <w:r>
        <w:rPr>
          <w:rFonts w:ascii="仿宋_GB2312" w:eastAsia="仿宋_GB2312" w:hAnsi="仿宋_GB2312" w:cs="仿宋_GB2312" w:hint="eastAsia"/>
          <w:bCs/>
          <w:sz w:val="32"/>
          <w:szCs w:val="32"/>
        </w:rPr>
        <w:t>随着中国经济发展全面进入转型升级的新常态，北京正面临着定位调整、功能疏解与产业转型的复杂局面。如何在综合考虑企业发展、员工利益、市民福祉等多重因素的基础上，将产业的发展与疏解纳入法治轨道上，既适应首都功能定位，又符合法治理念要求，还取得良好治理绩效，是一个重大的依法行政课题。</w:t>
      </w:r>
    </w:p>
    <w:p w:rsidR="004256F1" w:rsidRDefault="00AF70D4">
      <w:pPr>
        <w:spacing w:line="560" w:lineRule="exact"/>
        <w:ind w:firstLineChars="200" w:firstLine="643"/>
        <w:rPr>
          <w:rFonts w:ascii="仿宋_GB2312" w:eastAsia="仿宋_GB2312"/>
          <w:sz w:val="32"/>
          <w:szCs w:val="32"/>
        </w:rPr>
      </w:pPr>
      <w:r>
        <w:rPr>
          <w:rFonts w:ascii="仿宋_GB2312" w:eastAsia="仿宋_GB2312" w:hAnsi="仿宋_GB2312" w:cs="仿宋_GB2312" w:hint="eastAsia"/>
          <w:b/>
          <w:bCs/>
          <w:sz w:val="32"/>
          <w:szCs w:val="32"/>
        </w:rPr>
        <w:lastRenderedPageBreak/>
        <w:t>课题目标</w:t>
      </w:r>
      <w:r>
        <w:rPr>
          <w:rFonts w:ascii="仿宋_GB2312" w:eastAsia="仿宋_GB2312" w:hint="eastAsia"/>
          <w:b/>
          <w:bCs/>
          <w:sz w:val="32"/>
          <w:szCs w:val="32"/>
        </w:rPr>
        <w:t>：</w:t>
      </w:r>
      <w:r>
        <w:rPr>
          <w:rFonts w:ascii="仿宋_GB2312" w:eastAsia="仿宋_GB2312" w:hint="eastAsia"/>
          <w:sz w:val="32"/>
          <w:szCs w:val="32"/>
        </w:rPr>
        <w:t>从国内外经验，以法治思维法治方式，有效化解北京目前面临的城市功能定位转变、产业疏解转型发展与依法治国、依法行政之间存在的张力;对京津冀现有产业发展与疏解领域法律法规进行梳理，找寻三地发展实际与法律对接的缝隙，最大限度寻求政策支持以外的法律支撑空间。</w:t>
      </w:r>
    </w:p>
    <w:sectPr w:rsidR="004256F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BAB" w:rsidRDefault="00077BAB">
      <w:r>
        <w:separator/>
      </w:r>
    </w:p>
  </w:endnote>
  <w:endnote w:type="continuationSeparator" w:id="0">
    <w:p w:rsidR="00077BAB" w:rsidRDefault="00077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swiss"/>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6F1" w:rsidRDefault="00AF70D4">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256F1" w:rsidRDefault="00AF70D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D3884" w:rsidRPr="00ED3884">
                            <w:rPr>
                              <w:noProof/>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4256F1" w:rsidRDefault="00AF70D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D3884" w:rsidRPr="00ED3884">
                      <w:rPr>
                        <w:noProof/>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BAB" w:rsidRDefault="00077BAB">
      <w:r>
        <w:separator/>
      </w:r>
    </w:p>
  </w:footnote>
  <w:footnote w:type="continuationSeparator" w:id="0">
    <w:p w:rsidR="00077BAB" w:rsidRDefault="00077B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5AD"/>
    <w:rsid w:val="00077BAB"/>
    <w:rsid w:val="0010522F"/>
    <w:rsid w:val="001709F3"/>
    <w:rsid w:val="00181F2F"/>
    <w:rsid w:val="00215BD2"/>
    <w:rsid w:val="00267EB6"/>
    <w:rsid w:val="0035427C"/>
    <w:rsid w:val="0038315D"/>
    <w:rsid w:val="00390D41"/>
    <w:rsid w:val="003A2980"/>
    <w:rsid w:val="003D2343"/>
    <w:rsid w:val="004101EF"/>
    <w:rsid w:val="004256F1"/>
    <w:rsid w:val="004845AD"/>
    <w:rsid w:val="00492A05"/>
    <w:rsid w:val="004A6BD9"/>
    <w:rsid w:val="005D515C"/>
    <w:rsid w:val="005E113D"/>
    <w:rsid w:val="00695E46"/>
    <w:rsid w:val="006C1E5B"/>
    <w:rsid w:val="00700E2C"/>
    <w:rsid w:val="0081048D"/>
    <w:rsid w:val="00813B24"/>
    <w:rsid w:val="008461C8"/>
    <w:rsid w:val="008D7788"/>
    <w:rsid w:val="0093689A"/>
    <w:rsid w:val="009F5DFE"/>
    <w:rsid w:val="00A3651D"/>
    <w:rsid w:val="00A37223"/>
    <w:rsid w:val="00AD2F1B"/>
    <w:rsid w:val="00AF70D4"/>
    <w:rsid w:val="00B82B60"/>
    <w:rsid w:val="00C4781E"/>
    <w:rsid w:val="00CA67CD"/>
    <w:rsid w:val="00CB13AA"/>
    <w:rsid w:val="00CB3E4F"/>
    <w:rsid w:val="00CE2E36"/>
    <w:rsid w:val="00E14121"/>
    <w:rsid w:val="00E162F9"/>
    <w:rsid w:val="00E220FE"/>
    <w:rsid w:val="00E44EDA"/>
    <w:rsid w:val="00E51295"/>
    <w:rsid w:val="00ED3884"/>
    <w:rsid w:val="00F1065D"/>
    <w:rsid w:val="015F5DD0"/>
    <w:rsid w:val="01FB23CB"/>
    <w:rsid w:val="02102371"/>
    <w:rsid w:val="02262316"/>
    <w:rsid w:val="025C7380"/>
    <w:rsid w:val="09D409AD"/>
    <w:rsid w:val="0D4C5AE1"/>
    <w:rsid w:val="12931517"/>
    <w:rsid w:val="174E114A"/>
    <w:rsid w:val="183D2FD1"/>
    <w:rsid w:val="1CA6768D"/>
    <w:rsid w:val="22333EAB"/>
    <w:rsid w:val="25795720"/>
    <w:rsid w:val="2B290A09"/>
    <w:rsid w:val="2B47568D"/>
    <w:rsid w:val="2B88197A"/>
    <w:rsid w:val="2D0568E8"/>
    <w:rsid w:val="2FC43258"/>
    <w:rsid w:val="368B7CA2"/>
    <w:rsid w:val="3F28582E"/>
    <w:rsid w:val="40197335"/>
    <w:rsid w:val="498118A6"/>
    <w:rsid w:val="4BF347C7"/>
    <w:rsid w:val="4E6D2CB8"/>
    <w:rsid w:val="515A2406"/>
    <w:rsid w:val="5597277B"/>
    <w:rsid w:val="56B6466A"/>
    <w:rsid w:val="571E5A7A"/>
    <w:rsid w:val="580C7901"/>
    <w:rsid w:val="58425BDC"/>
    <w:rsid w:val="59735F4E"/>
    <w:rsid w:val="5F0B2CFC"/>
    <w:rsid w:val="62730CA9"/>
    <w:rsid w:val="655C34B4"/>
    <w:rsid w:val="6EA50F15"/>
    <w:rsid w:val="706E0500"/>
    <w:rsid w:val="71D4494F"/>
    <w:rsid w:val="73873F96"/>
    <w:rsid w:val="7BB42002"/>
    <w:rsid w:val="7F0E6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8A63A3-8734-436D-A383-A065A021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rPr>
  </w:style>
  <w:style w:type="paragraph" w:styleId="a4">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509</Words>
  <Characters>2904</Characters>
  <Application>Microsoft Office Word</Application>
  <DocSecurity>0</DocSecurity>
  <Lines>24</Lines>
  <Paragraphs>6</Paragraphs>
  <ScaleCrop>false</ScaleCrop>
  <Company/>
  <LinksUpToDate>false</LinksUpToDate>
  <CharactersWithSpaces>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白保玉</dc:creator>
  <cp:lastModifiedBy>user</cp:lastModifiedBy>
  <cp:revision>2</cp:revision>
  <cp:lastPrinted>2016-01-13T01:31:00Z</cp:lastPrinted>
  <dcterms:created xsi:type="dcterms:W3CDTF">2016-02-03T08:37:00Z</dcterms:created>
  <dcterms:modified xsi:type="dcterms:W3CDTF">2016-02-03T08:37:00Z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